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21" w:rsidRPr="00815B21" w:rsidRDefault="00815B21" w:rsidP="00815B21">
      <w:pPr>
        <w:spacing w:after="0" w:line="240" w:lineRule="auto"/>
        <w:ind w:left="90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B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15B21" w:rsidRPr="00181902" w:rsidRDefault="00815B21" w:rsidP="00815B21">
      <w:pPr>
        <w:spacing w:after="0" w:line="240" w:lineRule="auto"/>
        <w:ind w:left="9000"/>
        <w:jc w:val="right"/>
        <w:rPr>
          <w:rFonts w:ascii="Times New Roman" w:hAnsi="Times New Roman" w:cs="Times New Roman"/>
          <w:sz w:val="24"/>
          <w:szCs w:val="24"/>
        </w:rPr>
      </w:pPr>
      <w:r w:rsidRPr="00815B21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15B21" w:rsidRPr="00815B21" w:rsidRDefault="00815B21" w:rsidP="00815B21">
      <w:pPr>
        <w:spacing w:after="0" w:line="240" w:lineRule="auto"/>
        <w:ind w:left="90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</w:t>
      </w:r>
      <w:r w:rsidRPr="00815B21">
        <w:rPr>
          <w:rFonts w:ascii="Times New Roman" w:hAnsi="Times New Roman" w:cs="Times New Roman"/>
          <w:sz w:val="24"/>
          <w:szCs w:val="24"/>
        </w:rPr>
        <w:t>ского  муниципального района</w:t>
      </w:r>
    </w:p>
    <w:p w:rsidR="00815B21" w:rsidRPr="00815B21" w:rsidRDefault="00815B21" w:rsidP="00815B21">
      <w:pPr>
        <w:spacing w:after="0" w:line="240" w:lineRule="auto"/>
        <w:ind w:left="9000"/>
        <w:jc w:val="right"/>
        <w:rPr>
          <w:rFonts w:ascii="Times New Roman" w:hAnsi="Times New Roman" w:cs="Times New Roman"/>
          <w:sz w:val="24"/>
          <w:szCs w:val="24"/>
        </w:rPr>
      </w:pPr>
      <w:r w:rsidRPr="00815B21">
        <w:rPr>
          <w:rFonts w:ascii="Times New Roman" w:hAnsi="Times New Roman" w:cs="Times New Roman"/>
          <w:sz w:val="24"/>
          <w:szCs w:val="24"/>
        </w:rPr>
        <w:t xml:space="preserve">от </w:t>
      </w:r>
      <w:r w:rsidR="0097462F">
        <w:rPr>
          <w:rFonts w:ascii="Times New Roman" w:hAnsi="Times New Roman" w:cs="Times New Roman"/>
          <w:sz w:val="24"/>
          <w:szCs w:val="24"/>
        </w:rPr>
        <w:t xml:space="preserve">15 августа </w:t>
      </w:r>
      <w:r>
        <w:rPr>
          <w:rFonts w:ascii="Times New Roman" w:hAnsi="Times New Roman" w:cs="Times New Roman"/>
          <w:sz w:val="24"/>
          <w:szCs w:val="24"/>
        </w:rPr>
        <w:t>2024 г.</w:t>
      </w:r>
      <w:r w:rsidRPr="00815B21">
        <w:rPr>
          <w:rFonts w:ascii="Times New Roman" w:hAnsi="Times New Roman" w:cs="Times New Roman"/>
          <w:sz w:val="24"/>
          <w:szCs w:val="24"/>
        </w:rPr>
        <w:t xml:space="preserve"> №</w:t>
      </w:r>
      <w:r w:rsidR="0097462F">
        <w:rPr>
          <w:rFonts w:ascii="Times New Roman" w:hAnsi="Times New Roman" w:cs="Times New Roman"/>
          <w:sz w:val="24"/>
          <w:szCs w:val="24"/>
        </w:rPr>
        <w:t xml:space="preserve"> 197</w:t>
      </w:r>
    </w:p>
    <w:p w:rsidR="00815B21" w:rsidRPr="00815B21" w:rsidRDefault="00815B2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815B21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</w:t>
            </w:r>
            <w:r w:rsidR="00815B21">
              <w:rPr>
                <w:rFonts w:ascii="Times New Roman" w:hAnsi="Times New Roman" w:cs="Times New Roman"/>
              </w:rPr>
              <w:t xml:space="preserve"> Каменского </w:t>
            </w:r>
            <w:r w:rsidR="007E5B50" w:rsidRPr="00ED1AE5">
              <w:rPr>
                <w:rFonts w:ascii="Times New Roman" w:hAnsi="Times New Roman" w:cs="Times New Roman"/>
              </w:rPr>
              <w:t xml:space="preserve">муниципального </w:t>
            </w:r>
            <w:r w:rsidR="00815B21">
              <w:rPr>
                <w:rFonts w:ascii="Times New Roman" w:hAnsi="Times New Roman" w:cs="Times New Roman"/>
              </w:rPr>
              <w:t>района Воронежской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ED1AE5" w:rsidRDefault="00815B21" w:rsidP="00815B21">
            <w:pPr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Утвержден постановлением администрации Каменского муниципального района от 04.12.2023 г. № 189 «Об утверждении административного регламента </w:t>
            </w:r>
            <w:r w:rsidRPr="00815B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B21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5B21">
              <w:rPr>
                <w:rFonts w:ascii="Times New Roman" w:hAnsi="Times New Roman" w:cs="Times New Roman"/>
                <w:sz w:val="24"/>
                <w:szCs w:val="24"/>
              </w:rPr>
              <w:t xml:space="preserve"> и 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B21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815B2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F3C4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</w:t>
            </w:r>
            <w:r w:rsidR="004F3C4F">
              <w:rPr>
                <w:rFonts w:ascii="Times New Roman" w:hAnsi="Times New Roman" w:cs="Times New Roman"/>
              </w:rPr>
              <w:t>0раб.дн</w:t>
            </w:r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ED1AE5" w:rsidRDefault="004F3C4F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0раб.дн</w:t>
            </w:r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предусмотрено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4F3C4F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0раб.дн</w:t>
            </w:r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F74ED" w:rsidRPr="00ED1AE5" w:rsidRDefault="004F3C4F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0раб.дн</w:t>
            </w:r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образуемого в соответствии с ранее принятым решением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жения земельного участка, срок </w:t>
            </w:r>
            <w:r w:rsidRPr="00ED1AE5">
              <w:rPr>
                <w:rFonts w:ascii="Times New Roman" w:hAnsi="Times New Roman" w:cs="Times New Roman"/>
              </w:rPr>
              <w:lastRenderedPageBreak/>
              <w:t>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ния, объекта незавершенного строительства </w:t>
            </w:r>
            <w:r w:rsidRPr="00ED1AE5">
              <w:rPr>
                <w:rFonts w:ascii="Times New Roman" w:hAnsi="Times New Roman" w:cs="Times New Roman"/>
              </w:rPr>
              <w:lastRenderedPageBreak/>
              <w:t>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lastRenderedPageBreak/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 xml:space="preserve">варительном согласовании его предоставления или заявление 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ленная ранее другим лицом 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ложения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мента, который </w:t>
            </w:r>
            <w:r w:rsidRPr="00ED1AE5">
              <w:rPr>
                <w:rFonts w:ascii="Times New Roman" w:hAnsi="Times New Roman" w:cs="Times New Roman"/>
              </w:rPr>
              <w:lastRenderedPageBreak/>
              <w:t>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D4496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D44964">
              <w:rPr>
                <w:rFonts w:ascii="Times New Roman" w:hAnsi="Times New Roman" w:cs="Times New Roman"/>
              </w:rPr>
              <w:t>раб</w:t>
            </w:r>
            <w:r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972720" w:rsidP="00B24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</w:t>
            </w:r>
            <w:r w:rsidR="00AC2F49"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97272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7 </w:t>
            </w:r>
            <w:r w:rsidR="00972720">
              <w:rPr>
                <w:rFonts w:ascii="Times New Roman" w:hAnsi="Times New Roman" w:cs="Times New Roman"/>
              </w:rPr>
              <w:t>раб</w:t>
            </w:r>
            <w:r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8C38B7" w:rsidP="008C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1раб</w:t>
            </w:r>
            <w:r w:rsidR="00AC2F49"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647E1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647E1A">
              <w:rPr>
                <w:rFonts w:ascii="Times New Roman" w:hAnsi="Times New Roman" w:cs="Times New Roman"/>
              </w:rPr>
              <w:t>раб</w:t>
            </w:r>
            <w:r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47E1A" w:rsidP="0064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раб</w:t>
            </w:r>
            <w:r w:rsidR="0060585C"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ления об утверждении схемы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647E1A" w:rsidP="00E76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3C4F">
              <w:rPr>
                <w:rFonts w:ascii="Times New Roman" w:hAnsi="Times New Roman" w:cs="Times New Roman"/>
              </w:rPr>
              <w:t xml:space="preserve"> раб</w:t>
            </w:r>
            <w:r w:rsidR="00E76A76" w:rsidRPr="00ED1AE5">
              <w:rPr>
                <w:rFonts w:ascii="Times New Roman" w:hAnsi="Times New Roman" w:cs="Times New Roman"/>
              </w:rPr>
              <w:t>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647E1A" w:rsidP="00647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раб.</w:t>
            </w:r>
            <w:r w:rsidR="00E76A76" w:rsidRPr="00ED1AE5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7F1917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</w:t>
            </w:r>
            <w:r w:rsidR="007F1917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181902">
          <w:headerReference w:type="default" r:id="rId8"/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ФОРМА ЗАЯВЛЕНИЯ ОБ УТВЕРЖДЕНИИ СХЕМЫ РАСПОЛОЖЕНИЯ ЗЕМЕЛЬНОГО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Заявление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Российской Федерации, органа местного самоуправления)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32AE6">
          <w:rPr>
            <w:rFonts w:ascii="Times New Roman" w:hAnsi="Times New Roman" w:cs="Times New Roman"/>
            <w:color w:val="0000FF"/>
            <w:sz w:val="28"/>
            <w:szCs w:val="28"/>
          </w:rPr>
          <w:t>статьей 11.10</w:t>
        </w:r>
      </w:hyperlink>
      <w:r w:rsidRPr="00832AE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832AE6">
        <w:rPr>
          <w:rFonts w:ascii="Times New Roman" w:hAnsi="Times New Roman" w:cs="Times New Roman"/>
          <w:sz w:val="28"/>
          <w:szCs w:val="28"/>
        </w:rPr>
        <w:t>е</w:t>
      </w:r>
      <w:r w:rsidRPr="00832AE6">
        <w:rPr>
          <w:rFonts w:ascii="Times New Roman" w:hAnsi="Times New Roman" w:cs="Times New Roman"/>
          <w:sz w:val="28"/>
          <w:szCs w:val="28"/>
        </w:rPr>
        <w:t>рации прошу утвердить схему расположения земельного участка на кадас</w:t>
      </w:r>
      <w:r w:rsidRPr="00832AE6">
        <w:rPr>
          <w:rFonts w:ascii="Times New Roman" w:hAnsi="Times New Roman" w:cs="Times New Roman"/>
          <w:sz w:val="28"/>
          <w:szCs w:val="28"/>
        </w:rPr>
        <w:t>т</w:t>
      </w:r>
      <w:r w:rsidRPr="00832AE6">
        <w:rPr>
          <w:rFonts w:ascii="Times New Roman" w:hAnsi="Times New Roman" w:cs="Times New Roman"/>
          <w:sz w:val="28"/>
          <w:szCs w:val="28"/>
        </w:rPr>
        <w:t>ровом плане территории.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1. Сведения о заявителе (в случае, если заявитель обращается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через представителя)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заяв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3. Сведения по услуге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Право заявителя на земельный участок зарегис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Сколько землепользователей у исходного земел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4. Сведения о земельном участке(-ах)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(возмо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5. Прилагаемые документы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438"/>
      </w:tblGrid>
      <w:tr w:rsidR="00832AE6" w:rsidRPr="00832AE6" w:rsidTr="00E04E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Наименование прикладываемого документа</w:t>
            </w:r>
          </w:p>
        </w:tc>
      </w:tr>
      <w:tr w:rsidR="00832AE6" w:rsidRPr="00832AE6" w:rsidTr="00E04E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 xml:space="preserve">Схема расположения земельного участка или 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на кадастровом плане те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Согласие залогодержателей, землепользоват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лей, землевладельцев, арендаторов, залогоде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AE6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832AE6" w:rsidRPr="00832AE6" w:rsidTr="00E04E1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страцию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E6" w:rsidRPr="00832AE6" w:rsidTr="00E04E1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6" w:rsidRPr="00832AE6" w:rsidRDefault="00832AE6" w:rsidP="00832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AE6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32AE6">
        <w:rPr>
          <w:rFonts w:ascii="Times New Roman" w:hAnsi="Times New Roman" w:cs="Times New Roman"/>
          <w:sz w:val="20"/>
          <w:szCs w:val="20"/>
        </w:rPr>
        <w:t xml:space="preserve">                                    ___________  __________________________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32AE6">
        <w:rPr>
          <w:rFonts w:ascii="Times New Roman" w:hAnsi="Times New Roman" w:cs="Times New Roman"/>
          <w:sz w:val="20"/>
          <w:szCs w:val="20"/>
        </w:rPr>
        <w:t>(подпись)    (фамилия, имя, отчество</w:t>
      </w:r>
    </w:p>
    <w:p w:rsidR="00832AE6" w:rsidRPr="00832AE6" w:rsidRDefault="00832AE6" w:rsidP="00832A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32AE6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(последнее - при наличии))</w:t>
      </w:r>
    </w:p>
    <w:p w:rsidR="00832AE6" w:rsidRDefault="00832AE6" w:rsidP="000055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832AE6">
        <w:rPr>
          <w:rFonts w:ascii="Times New Roman" w:hAnsi="Times New Roman" w:cs="Times New Roman"/>
          <w:sz w:val="20"/>
          <w:szCs w:val="20"/>
        </w:rPr>
        <w:t>Дата</w:t>
      </w:r>
    </w:p>
    <w:sectPr w:rsidR="00832AE6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4A" w:rsidRDefault="00B6294A" w:rsidP="00D328E5">
      <w:pPr>
        <w:spacing w:after="0" w:line="240" w:lineRule="auto"/>
      </w:pPr>
      <w:r>
        <w:separator/>
      </w:r>
    </w:p>
  </w:endnote>
  <w:endnote w:type="continuationSeparator" w:id="1">
    <w:p w:rsidR="00B6294A" w:rsidRDefault="00B6294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4A" w:rsidRDefault="00B6294A" w:rsidP="00D328E5">
      <w:pPr>
        <w:spacing w:after="0" w:line="240" w:lineRule="auto"/>
      </w:pPr>
      <w:r>
        <w:separator/>
      </w:r>
    </w:p>
  </w:footnote>
  <w:footnote w:type="continuationSeparator" w:id="1">
    <w:p w:rsidR="00B6294A" w:rsidRDefault="00B6294A" w:rsidP="00D328E5">
      <w:pPr>
        <w:spacing w:after="0" w:line="240" w:lineRule="auto"/>
      </w:pPr>
      <w:r>
        <w:continuationSeparator/>
      </w:r>
    </w:p>
  </w:footnote>
  <w:footnote w:id="2">
    <w:p w:rsidR="00C949BA" w:rsidRPr="00E752C6" w:rsidRDefault="00C949BA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Сведения о заявителях по всем подуслугам не различаются</w:t>
      </w:r>
    </w:p>
  </w:footnote>
  <w:footnote w:id="6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Образцы документов приводятсяорганом, предоставляющим услугу</w:t>
      </w:r>
    </w:p>
  </w:footnote>
  <w:footnote w:id="7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подуслугам не отличаются</w:t>
      </w:r>
    </w:p>
  </w:footnote>
  <w:footnote w:id="10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Результат указан для всех подуслуг</w:t>
      </w:r>
    </w:p>
  </w:footnote>
  <w:footnote w:id="12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649773"/>
      <w:docPartObj>
        <w:docPartGallery w:val="Page Numbers (Top of Page)"/>
        <w:docPartUnique/>
      </w:docPartObj>
    </w:sdtPr>
    <w:sdtContent>
      <w:p w:rsidR="00181902" w:rsidRDefault="0074443D">
        <w:pPr>
          <w:pStyle w:val="af0"/>
          <w:jc w:val="center"/>
        </w:pPr>
        <w:r>
          <w:fldChar w:fldCharType="begin"/>
        </w:r>
        <w:r w:rsidR="00181902">
          <w:instrText>PAGE   \* MERGEFORMAT</w:instrText>
        </w:r>
        <w:r>
          <w:fldChar w:fldCharType="separate"/>
        </w:r>
        <w:r w:rsidR="0097462F">
          <w:rPr>
            <w:noProof/>
          </w:rPr>
          <w:t>2</w:t>
        </w:r>
        <w:r>
          <w:fldChar w:fldCharType="end"/>
        </w:r>
      </w:p>
    </w:sdtContent>
  </w:sdt>
  <w:p w:rsidR="00181902" w:rsidRDefault="0018190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5599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129D"/>
    <w:rsid w:val="000A4C80"/>
    <w:rsid w:val="000A638F"/>
    <w:rsid w:val="000A723F"/>
    <w:rsid w:val="000B40A5"/>
    <w:rsid w:val="000C3183"/>
    <w:rsid w:val="000E2779"/>
    <w:rsid w:val="000E5FA8"/>
    <w:rsid w:val="001154C7"/>
    <w:rsid w:val="00125DE2"/>
    <w:rsid w:val="00140BBF"/>
    <w:rsid w:val="001412EF"/>
    <w:rsid w:val="00143098"/>
    <w:rsid w:val="001710B7"/>
    <w:rsid w:val="00175034"/>
    <w:rsid w:val="00181902"/>
    <w:rsid w:val="001846BA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D0618"/>
    <w:rsid w:val="002E2657"/>
    <w:rsid w:val="002E43F5"/>
    <w:rsid w:val="002F20CD"/>
    <w:rsid w:val="002F25A2"/>
    <w:rsid w:val="002F4588"/>
    <w:rsid w:val="0030313C"/>
    <w:rsid w:val="00316D3F"/>
    <w:rsid w:val="0032615B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3C4F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0100"/>
    <w:rsid w:val="0060585C"/>
    <w:rsid w:val="006075E1"/>
    <w:rsid w:val="00613C28"/>
    <w:rsid w:val="00621F36"/>
    <w:rsid w:val="00641B59"/>
    <w:rsid w:val="00646B5F"/>
    <w:rsid w:val="00647E1A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4443D"/>
    <w:rsid w:val="00750C15"/>
    <w:rsid w:val="007529A1"/>
    <w:rsid w:val="007750E7"/>
    <w:rsid w:val="007775FB"/>
    <w:rsid w:val="007E5B50"/>
    <w:rsid w:val="007F1917"/>
    <w:rsid w:val="007F3838"/>
    <w:rsid w:val="00802F87"/>
    <w:rsid w:val="008128E8"/>
    <w:rsid w:val="00815B21"/>
    <w:rsid w:val="008202EC"/>
    <w:rsid w:val="00832AE6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38B7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2720"/>
    <w:rsid w:val="0097416D"/>
    <w:rsid w:val="0097462F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352F8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294A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85731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44964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4886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76AE4ADC2118B763FEBFD855F405C041756080195EB9C5A2DCFC11644B8FFC34A6CC1EB76C60EEF75CD3B12DAF330F86B5FFAA65LE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714-2B0B-4C25-AAFA-626EA2E8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Лебедева Светлана Николаевна</cp:lastModifiedBy>
  <cp:revision>2</cp:revision>
  <dcterms:created xsi:type="dcterms:W3CDTF">2024-08-19T13:47:00Z</dcterms:created>
  <dcterms:modified xsi:type="dcterms:W3CDTF">2024-08-19T13:47:00Z</dcterms:modified>
</cp:coreProperties>
</file>